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0"/>
          <w:szCs w:val="8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0"/>
          <w:szCs w:val="84"/>
        </w:rPr>
        <w:t>致私募基金投资者的一封信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私募基金投资者：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为了维护您的合法权益，防范相关风险，请在购买私募基金产品前仔细阅读并理解以下注意事项：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1.您是否了解所购买的私募基金产品？募资额多少？投向哪里？投资期限多久？到期如何退出？管理人是谁？背景如何？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2.私募基金在投资运作过程中可能面临各种风险,且不对投资者提供任何保本保收益的承诺。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3.您应充分了解并谨慎评估自身风险承受能力,选择风险等级相匹配的私募基金产品,自愿自行承担投资该产品所面临的风险。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4.您应确保符合合格投资者标准,投资资金的来源合法,不非法汇集他人资金进行投资, 提供资产证明或收入情况等, 配合私募基金管理人进行风险测评。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您应认真阅读私募基金合同和募集文件,了解应享有的投资收益及各项权利,了解基金管理人应披露的产品有关信息及时间节点,关注基金财产变动情况，监督基金管理人是否及时履行发放收益、信息披露以及其他各项义务。</w:t>
      </w:r>
    </w:p>
    <w:p>
      <w:pPr>
        <w:widowControl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6.您在投资过程中,如有投诉和建议需反馈,可通过多种途径维护自身合法权益。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（1）与基金管理人协商解决；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（2）行业协会专业调解（厦门证券期货业协会网址：www.xmsa.org.cn；中国证券投资基金业协会网址：www.amac.org.cn；中证中小投资者服务中心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在线调解服务</w:t>
      </w:r>
      <w:r>
        <w:rPr>
          <w:rFonts w:hint="eastAsia" w:ascii="仿宋_GB2312" w:hAnsi="仿宋_GB2312" w:eastAsia="仿宋_GB2312" w:cs="仿宋_GB2312"/>
          <w:sz w:val="24"/>
          <w:szCs w:val="24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val="en-US" w:eastAsia="zh-CN"/>
        </w:rPr>
        <w:t>https://www.investor.gov.cn/rights_interests_protect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ion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/mediation_service/</w:t>
      </w:r>
      <w:r>
        <w:rPr>
          <w:rFonts w:hint="eastAsia" w:ascii="仿宋_GB2312" w:hAnsi="仿宋_GB2312" w:eastAsia="仿宋_GB2312" w:cs="仿宋_GB2312"/>
          <w:sz w:val="24"/>
          <w:szCs w:val="24"/>
        </w:rPr>
        <w:t>）；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（3）申请仲裁机构仲裁；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（4）向监管部门举报；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（5）向人民法院提起诉讼。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此致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厦门证券期货业协会私募基金自律监察专业委员会</w:t>
      </w:r>
    </w:p>
    <w:p>
      <w:pPr>
        <w:widowControl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投资者确认已认真阅读上述注意事项</w:t>
      </w:r>
    </w:p>
    <w:p>
      <w:pPr>
        <w:widowControl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wordWrap w:val="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投资者(个人)签字           </w:t>
      </w:r>
    </w:p>
    <w:p>
      <w:pPr>
        <w:widowControl/>
        <w:wordWrap w:val="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投资者(机构)盖章           </w:t>
      </w:r>
    </w:p>
    <w:p>
      <w:pPr>
        <w:widowControl/>
        <w:wordWrap w:val="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日期：    年  月  日       </w:t>
      </w:r>
    </w:p>
    <w:p>
      <w:pPr>
        <w:widowControl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idowControl/>
        <w:wordWrap w:val="0"/>
        <w:jc w:val="righ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私募基金管理人盖章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F418B"/>
    <w:rsid w:val="667F41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2018-08-01T08:32:00Z</dcterms:created>
  <dc:creator>Administrator</dc:creator>
  <cp:lastModifiedBy>Administrator</cp:lastModifiedBy>
  <dcterms:modified xsi:type="dcterms:W3CDTF">2018-08-01T08:33:19Z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